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ind w:left="0"/>
        <w:jc w:val="center"/>
        <w:textAlignment w:val="auto"/>
        <w:rPr>
          <w:rFonts w:hint="eastAsia" w:ascii="方正小标宋简体" w:hAnsi="黑体" w:eastAsia="方正小标宋简体"/>
          <w:color w:val="000000" w:themeColor="text1"/>
          <w:sz w:val="44"/>
          <w:szCs w:val="44"/>
          <w14:textFill>
            <w14:solidFill>
              <w14:schemeClr w14:val="tx1"/>
            </w14:solidFill>
          </w14:textFill>
        </w:rPr>
      </w:pPr>
      <w:r>
        <w:rPr>
          <w:rFonts w:hint="eastAsia" w:ascii="方正小标宋简体" w:hAnsi="黑体" w:eastAsia="方正小标宋简体"/>
          <w:color w:val="000000" w:themeColor="text1"/>
          <w:sz w:val="44"/>
          <w:szCs w:val="44"/>
          <w14:textFill>
            <w14:solidFill>
              <w14:schemeClr w14:val="tx1"/>
            </w14:solidFill>
          </w14:textFill>
        </w:rPr>
        <w:t>柳州市中小学生校外</w:t>
      </w:r>
      <w:bookmarkStart w:id="0" w:name="_GoBack"/>
      <w:bookmarkEnd w:id="0"/>
      <w:r>
        <w:rPr>
          <w:rFonts w:hint="eastAsia" w:ascii="方正小标宋简体" w:hAnsi="黑体" w:eastAsia="方正小标宋简体"/>
          <w:color w:val="000000" w:themeColor="text1"/>
          <w:sz w:val="44"/>
          <w:szCs w:val="44"/>
          <w14:textFill>
            <w14:solidFill>
              <w14:schemeClr w14:val="tx1"/>
            </w14:solidFill>
          </w14:textFill>
        </w:rPr>
        <w:t>培训服务类别鉴定指引</w:t>
      </w:r>
    </w:p>
    <w:p>
      <w:pPr>
        <w:keepNext w:val="0"/>
        <w:keepLines w:val="0"/>
        <w:pageBreakBefore w:val="0"/>
        <w:kinsoku/>
        <w:wordWrap/>
        <w:overflowPunct/>
        <w:topLinePunct w:val="0"/>
        <w:autoSpaceDE/>
        <w:autoSpaceDN/>
        <w:bidi w:val="0"/>
        <w:adjustRightInd/>
        <w:snapToGrid/>
        <w:spacing w:line="600" w:lineRule="exact"/>
        <w:ind w:left="0"/>
        <w:jc w:val="center"/>
        <w:textAlignment w:val="auto"/>
        <w:rPr>
          <w:rFonts w:hint="eastAsia" w:ascii="方正小标宋简体" w:hAnsi="黑体" w:eastAsia="方正小标宋简体"/>
          <w:color w:val="000000" w:themeColor="text1"/>
          <w:sz w:val="44"/>
          <w:szCs w:val="44"/>
          <w14:textFill>
            <w14:solidFill>
              <w14:schemeClr w14:val="tx1"/>
            </w14:solidFill>
          </w14:textFill>
        </w:rPr>
      </w:pPr>
      <w:r>
        <w:rPr>
          <w:rFonts w:ascii="仿宋_GB2312" w:hAnsi="宋体" w:eastAsia="仿宋_GB2312" w:cs="仿宋_GB2312"/>
          <w:i w:val="0"/>
          <w:iCs w:val="0"/>
          <w:caps w:val="0"/>
          <w:color w:val="000000"/>
          <w:spacing w:val="0"/>
          <w:sz w:val="31"/>
          <w:szCs w:val="31"/>
          <w:shd w:val="clear" w:fill="FFFFFF"/>
        </w:rPr>
        <w:t>（征求意见稿）</w:t>
      </w:r>
    </w:p>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ascii="宋体" w:hAnsi="宋体" w:eastAsia="宋体" w:cs="宋体"/>
          <w:color w:val="000000" w:themeColor="text1"/>
          <w:kern w:val="0"/>
          <w:sz w:val="24"/>
          <w:szCs w:val="24"/>
          <w14:textFill>
            <w14:solidFill>
              <w14:schemeClr w14:val="tx1"/>
            </w14:solidFill>
          </w14:textFill>
        </w:rPr>
      </w:pP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仿宋_GB2312" w:hAnsi="宋体" w:eastAsia="仿宋_GB2312" w:cs="宋体"/>
          <w:color w:val="000000" w:themeColor="text1"/>
          <w:sz w:val="32"/>
          <w:szCs w:val="32"/>
          <w:lang w:eastAsia="zh-CN"/>
          <w14:textFill>
            <w14:solidFill>
              <w14:schemeClr w14:val="tx1"/>
            </w14:solidFill>
          </w14:textFill>
        </w:rPr>
      </w:pPr>
      <w:r>
        <w:rPr>
          <w:rFonts w:hint="eastAsia" w:ascii="仿宋_GB2312" w:hAnsi="宋体" w:eastAsia="仿宋_GB2312" w:cs="宋体"/>
          <w:color w:val="000000" w:themeColor="text1"/>
          <w:sz w:val="32"/>
          <w:szCs w:val="32"/>
          <w:lang w:eastAsia="zh-CN"/>
          <w14:textFill>
            <w14:solidFill>
              <w14:schemeClr w14:val="tx1"/>
            </w14:solidFill>
          </w14:textFill>
        </w:rPr>
        <w:t>根据《中共中央办公厅 国务院办公厅印发〈关于进一步减轻义务教育阶段学生作业负担和校外培训负担的意见〉的通知》（中办发〔2021〕40号）和《自治区党委办公厅 自治区人民政府办公厅关于印发〈广西进一步减轻义务教育阶段学生作业负担和校外培训负担实施方案〉的通知》（厅发〔2021〕44号）要求，为指导校外培训机构准确区分学科类和非学科类培训服务，引导校外培训机构向非学科类培训转型，为相关职能部门提供执法参考，防范假借非学科类培训项目实际开展学科类培训服务等逃避监管的行为，结合实际，制定本指引。</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方正黑体_GBK" w:hAnsi="方正黑体_GBK" w:eastAsia="方正黑体_GBK" w:cs="方正黑体_GBK"/>
          <w:b w:val="0"/>
          <w:bCs w:val="0"/>
          <w:color w:val="000000" w:themeColor="text1"/>
          <w:sz w:val="32"/>
          <w:szCs w:val="32"/>
          <w:lang w:eastAsia="zh-CN"/>
          <w14:textFill>
            <w14:solidFill>
              <w14:schemeClr w14:val="tx1"/>
            </w14:solidFill>
          </w14:textFill>
        </w:rPr>
      </w:pPr>
      <w:r>
        <w:rPr>
          <w:rFonts w:hint="eastAsia" w:ascii="方正黑体_GBK" w:hAnsi="方正黑体_GBK" w:eastAsia="方正黑体_GBK" w:cs="方正黑体_GBK"/>
          <w:b w:val="0"/>
          <w:bCs w:val="0"/>
          <w:color w:val="000000" w:themeColor="text1"/>
          <w:sz w:val="32"/>
          <w:szCs w:val="32"/>
          <w:lang w:eastAsia="zh-CN"/>
          <w14:textFill>
            <w14:solidFill>
              <w14:schemeClr w14:val="tx1"/>
            </w14:solidFill>
          </w14:textFill>
        </w:rPr>
        <w:t>一、适用范围</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仿宋_GB2312" w:hAnsi="宋体" w:eastAsia="仿宋_GB2312" w:cs="宋体"/>
          <w:color w:val="000000" w:themeColor="text1"/>
          <w:sz w:val="32"/>
          <w:szCs w:val="32"/>
          <w:lang w:eastAsia="zh-CN"/>
          <w14:textFill>
            <w14:solidFill>
              <w14:schemeClr w14:val="tx1"/>
            </w14:solidFill>
          </w14:textFill>
        </w:rPr>
      </w:pPr>
      <w:r>
        <w:rPr>
          <w:rFonts w:hint="eastAsia" w:ascii="仿宋_GB2312" w:hAnsi="宋体" w:eastAsia="仿宋_GB2312" w:cs="宋体"/>
          <w:color w:val="000000" w:themeColor="text1"/>
          <w:sz w:val="32"/>
          <w:szCs w:val="32"/>
          <w:lang w:eastAsia="zh-CN"/>
          <w14:textFill>
            <w14:solidFill>
              <w14:schemeClr w14:val="tx1"/>
            </w14:solidFill>
          </w14:textFill>
        </w:rPr>
        <w:t>国家机构以外的组织或者个人利用非国家财政性经费，在本市行政区域内，举办面向中小学生实施学科类或者非学科类培训服务的机构（以下简称培训机构），适用本指引。</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仿宋_GB2312" w:hAnsi="宋体" w:eastAsia="仿宋_GB2312" w:cs="宋体"/>
          <w:color w:val="000000" w:themeColor="text1"/>
          <w:sz w:val="32"/>
          <w:szCs w:val="32"/>
          <w:lang w:eastAsia="zh-CN"/>
          <w14:textFill>
            <w14:solidFill>
              <w14:schemeClr w14:val="tx1"/>
            </w14:solidFill>
          </w14:textFill>
        </w:rPr>
      </w:pPr>
      <w:r>
        <w:rPr>
          <w:rFonts w:hint="eastAsia" w:ascii="仿宋_GB2312" w:hAnsi="宋体" w:eastAsia="仿宋_GB2312" w:cs="宋体"/>
          <w:color w:val="000000" w:themeColor="text1"/>
          <w:sz w:val="32"/>
          <w:szCs w:val="32"/>
          <w:lang w:eastAsia="zh-CN"/>
          <w14:textFill>
            <w14:solidFill>
              <w14:schemeClr w14:val="tx1"/>
            </w14:solidFill>
          </w14:textFill>
        </w:rPr>
        <w:t>面向3至6岁学龄前儿童实施培训服务的机构，参照执行。</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方正黑体_GBK" w:hAnsi="方正黑体_GBK" w:eastAsia="方正黑体_GBK" w:cs="方正黑体_GBK"/>
          <w:b w:val="0"/>
          <w:bCs w:val="0"/>
          <w:color w:val="000000" w:themeColor="text1"/>
          <w:sz w:val="32"/>
          <w:szCs w:val="32"/>
          <w:lang w:eastAsia="zh-CN"/>
          <w14:textFill>
            <w14:solidFill>
              <w14:schemeClr w14:val="tx1"/>
            </w14:solidFill>
          </w14:textFill>
        </w:rPr>
      </w:pPr>
      <w:r>
        <w:rPr>
          <w:rFonts w:hint="eastAsia" w:ascii="方正黑体_GBK" w:hAnsi="方正黑体_GBK" w:eastAsia="方正黑体_GBK" w:cs="方正黑体_GBK"/>
          <w:b w:val="0"/>
          <w:bCs w:val="0"/>
          <w:color w:val="000000" w:themeColor="text1"/>
          <w:sz w:val="32"/>
          <w:szCs w:val="32"/>
          <w:lang w:eastAsia="zh-CN"/>
          <w14:textFill>
            <w14:solidFill>
              <w14:schemeClr w14:val="tx1"/>
            </w14:solidFill>
          </w14:textFill>
        </w:rPr>
        <w:t>二、鉴定依据</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仿宋_GB2312" w:hAnsi="宋体" w:eastAsia="仿宋_GB2312" w:cs="宋体"/>
          <w:color w:val="000000" w:themeColor="text1"/>
          <w:sz w:val="32"/>
          <w:szCs w:val="32"/>
          <w:lang w:eastAsia="zh-CN"/>
          <w14:textFill>
            <w14:solidFill>
              <w14:schemeClr w14:val="tx1"/>
            </w14:solidFill>
          </w14:textFill>
        </w:rPr>
      </w:pPr>
      <w:r>
        <w:rPr>
          <w:rFonts w:hint="eastAsia" w:ascii="仿宋_GB2312" w:hAnsi="宋体" w:eastAsia="仿宋_GB2312" w:cs="宋体"/>
          <w:color w:val="000000" w:themeColor="text1"/>
          <w:sz w:val="32"/>
          <w:szCs w:val="32"/>
          <w:lang w:val="en-US" w:eastAsia="zh-CN"/>
          <w14:textFill>
            <w14:solidFill>
              <w14:schemeClr w14:val="tx1"/>
            </w14:solidFill>
          </w14:textFill>
        </w:rPr>
        <w:t>按照《教育部办公厅关于进一步明确义务教育阶段校外培训学科类和非学科类范围的通知》(教监管厅函〔2021〕3号)、《教育部办公厅关于印发</w:t>
      </w:r>
      <w:r>
        <w:rPr>
          <w:rFonts w:hint="default" w:ascii="仿宋_GB2312" w:hAnsi="宋体" w:eastAsia="仿宋_GB2312" w:cs="宋体"/>
          <w:color w:val="000000" w:themeColor="text1"/>
          <w:sz w:val="32"/>
          <w:szCs w:val="32"/>
          <w:lang w:val="en" w:eastAsia="zh-CN"/>
          <w14:textFill>
            <w14:solidFill>
              <w14:schemeClr w14:val="tx1"/>
            </w14:solidFill>
          </w14:textFill>
        </w:rPr>
        <w:t>&lt;</w:t>
      </w:r>
      <w:r>
        <w:rPr>
          <w:rFonts w:hint="eastAsia" w:ascii="仿宋_GB2312" w:hAnsi="宋体" w:eastAsia="仿宋_GB2312" w:cs="宋体"/>
          <w:color w:val="000000" w:themeColor="text1"/>
          <w:sz w:val="32"/>
          <w:szCs w:val="32"/>
          <w:lang w:val="en-US" w:eastAsia="zh-CN"/>
          <w14:textFill>
            <w14:solidFill>
              <w14:schemeClr w14:val="tx1"/>
            </w14:solidFill>
          </w14:textFill>
        </w:rPr>
        <w:t>中小学生校外培训材料管理办法（试行）</w:t>
      </w:r>
      <w:r>
        <w:rPr>
          <w:rFonts w:hint="default" w:ascii="仿宋_GB2312" w:hAnsi="宋体" w:eastAsia="仿宋_GB2312" w:cs="宋体"/>
          <w:color w:val="000000" w:themeColor="text1"/>
          <w:sz w:val="32"/>
          <w:szCs w:val="32"/>
          <w:lang w:val="en" w:eastAsia="zh-CN"/>
          <w14:textFill>
            <w14:solidFill>
              <w14:schemeClr w14:val="tx1"/>
            </w14:solidFill>
          </w14:textFill>
        </w:rPr>
        <w:t>&gt;</w:t>
      </w:r>
      <w:r>
        <w:rPr>
          <w:rFonts w:hint="eastAsia" w:ascii="仿宋_GB2312" w:hAnsi="宋体" w:eastAsia="仿宋_GB2312" w:cs="宋体"/>
          <w:color w:val="000000" w:themeColor="text1"/>
          <w:sz w:val="32"/>
          <w:szCs w:val="32"/>
          <w:lang w:val="en-US" w:eastAsia="zh-CN"/>
          <w14:textFill>
            <w14:solidFill>
              <w14:schemeClr w14:val="tx1"/>
            </w14:solidFill>
          </w14:textFill>
        </w:rPr>
        <w:t>的通知》(教监管厅函〔2021〕6号)、《教育部办公厅关于印发义务教育六科超标超前培训负面清单（试行）的通知》（教基厅〔2020〕1号）</w:t>
      </w:r>
      <w:r>
        <w:rPr>
          <w:rFonts w:hint="eastAsia" w:ascii="仿宋_GB2312" w:hAnsi="宋体" w:eastAsia="仿宋_GB2312" w:cs="宋体"/>
          <w:color w:val="000000" w:themeColor="text1"/>
          <w:sz w:val="32"/>
          <w:szCs w:val="32"/>
          <w:lang w:eastAsia="zh-CN"/>
          <w14:textFill>
            <w14:solidFill>
              <w14:schemeClr w14:val="tx1"/>
            </w14:solidFill>
          </w14:textFill>
        </w:rPr>
        <w:t>、《中小学综合实践活动课程指导纲要》以及基础教育阶段国家课程方案和课程标准等政策文件。</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方正黑体_GBK" w:hAnsi="方正黑体_GBK" w:eastAsia="方正黑体_GBK" w:cs="方正黑体_GBK"/>
          <w:b w:val="0"/>
          <w:bCs w:val="0"/>
          <w:color w:val="000000" w:themeColor="text1"/>
          <w:sz w:val="32"/>
          <w:szCs w:val="32"/>
          <w:lang w:eastAsia="zh-CN"/>
          <w14:textFill>
            <w14:solidFill>
              <w14:schemeClr w14:val="tx1"/>
            </w14:solidFill>
          </w14:textFill>
        </w:rPr>
      </w:pPr>
      <w:r>
        <w:rPr>
          <w:rFonts w:hint="eastAsia" w:ascii="方正黑体_GBK" w:hAnsi="方正黑体_GBK" w:eastAsia="方正黑体_GBK" w:cs="方正黑体_GBK"/>
          <w:b w:val="0"/>
          <w:bCs w:val="0"/>
          <w:color w:val="000000" w:themeColor="text1"/>
          <w:sz w:val="32"/>
          <w:szCs w:val="32"/>
          <w:lang w:eastAsia="zh-CN"/>
          <w14:textFill>
            <w14:solidFill>
              <w14:schemeClr w14:val="tx1"/>
            </w14:solidFill>
          </w14:textFill>
        </w:rPr>
        <w:t>三、机构自律</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仿宋_GB2312" w:hAnsi="宋体" w:eastAsia="仿宋_GB2312" w:cs="宋体"/>
          <w:color w:val="000000" w:themeColor="text1"/>
          <w:sz w:val="32"/>
          <w:szCs w:val="32"/>
          <w:lang w:eastAsia="zh-CN"/>
          <w14:textFill>
            <w14:solidFill>
              <w14:schemeClr w14:val="tx1"/>
            </w14:solidFill>
          </w14:textFill>
        </w:rPr>
      </w:pPr>
      <w:r>
        <w:rPr>
          <w:rFonts w:hint="eastAsia" w:ascii="仿宋_GB2312" w:hAnsi="宋体" w:eastAsia="仿宋_GB2312" w:cs="宋体"/>
          <w:color w:val="000000" w:themeColor="text1"/>
          <w:sz w:val="32"/>
          <w:szCs w:val="32"/>
          <w:lang w:eastAsia="zh-CN"/>
          <w14:textFill>
            <w14:solidFill>
              <w14:schemeClr w14:val="tx1"/>
            </w14:solidFill>
          </w14:textFill>
        </w:rPr>
        <w:t>培训机构应当落实主体责任，对其实施的培训服务类别进行审查判断，主动按照学科类或者非学科类的相关管理要求规范开展培训活动，切实避免对外宣传与实际培训服务类别不一致的情况。</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方正黑体_GBK" w:hAnsi="方正黑体_GBK" w:eastAsia="方正黑体_GBK" w:cs="方正黑体_GBK"/>
          <w:b w:val="0"/>
          <w:bCs w:val="0"/>
          <w:color w:val="000000" w:themeColor="text1"/>
          <w:sz w:val="32"/>
          <w:szCs w:val="32"/>
          <w:lang w:eastAsia="zh-CN"/>
          <w14:textFill>
            <w14:solidFill>
              <w14:schemeClr w14:val="tx1"/>
            </w14:solidFill>
          </w14:textFill>
        </w:rPr>
      </w:pPr>
      <w:r>
        <w:rPr>
          <w:rFonts w:hint="eastAsia" w:ascii="方正黑体_GBK" w:hAnsi="方正黑体_GBK" w:eastAsia="方正黑体_GBK" w:cs="方正黑体_GBK"/>
          <w:b w:val="0"/>
          <w:bCs w:val="0"/>
          <w:color w:val="000000" w:themeColor="text1"/>
          <w:sz w:val="32"/>
          <w:szCs w:val="32"/>
          <w:lang w:eastAsia="zh-CN"/>
          <w14:textFill>
            <w14:solidFill>
              <w14:schemeClr w14:val="tx1"/>
            </w14:solidFill>
          </w14:textFill>
        </w:rPr>
        <w:t>四、鉴定机构</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仿宋_GB2312" w:hAnsi="宋体" w:eastAsia="仿宋_GB2312" w:cs="宋体"/>
          <w:color w:val="000000" w:themeColor="text1"/>
          <w:sz w:val="32"/>
          <w:szCs w:val="32"/>
          <w:lang w:eastAsia="zh-CN"/>
          <w14:textFill>
            <w14:solidFill>
              <w14:schemeClr w14:val="tx1"/>
            </w14:solidFill>
          </w14:textFill>
        </w:rPr>
      </w:pPr>
      <w:r>
        <w:rPr>
          <w:rFonts w:hint="eastAsia" w:ascii="仿宋_GB2312" w:hAnsi="宋体" w:eastAsia="仿宋_GB2312" w:cs="宋体"/>
          <w:color w:val="000000" w:themeColor="text1"/>
          <w:sz w:val="32"/>
          <w:szCs w:val="32"/>
          <w:lang w:eastAsia="zh-CN"/>
          <w14:textFill>
            <w14:solidFill>
              <w14:schemeClr w14:val="tx1"/>
            </w14:solidFill>
          </w14:textFill>
        </w:rPr>
        <w:t>柳州市教育局委托柳州市教育科学研究所建立市级专家鉴定机构，受理高中段相关鉴定工作。各县区(新区)可以参照建立相应机构，受理义务教育段及幼儿教育段相关鉴定工作。</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方正黑体_GBK" w:hAnsi="方正黑体_GBK" w:eastAsia="方正黑体_GBK" w:cs="方正黑体_GBK"/>
          <w:b w:val="0"/>
          <w:bCs w:val="0"/>
          <w:color w:val="000000" w:themeColor="text1"/>
          <w:sz w:val="32"/>
          <w:szCs w:val="32"/>
          <w:lang w:eastAsia="zh-CN"/>
          <w14:textFill>
            <w14:solidFill>
              <w14:schemeClr w14:val="tx1"/>
            </w14:solidFill>
          </w14:textFill>
        </w:rPr>
      </w:pPr>
      <w:r>
        <w:rPr>
          <w:rFonts w:hint="eastAsia" w:ascii="方正黑体_GBK" w:hAnsi="方正黑体_GBK" w:eastAsia="方正黑体_GBK" w:cs="方正黑体_GBK"/>
          <w:b w:val="0"/>
          <w:bCs w:val="0"/>
          <w:color w:val="000000" w:themeColor="text1"/>
          <w:sz w:val="32"/>
          <w:szCs w:val="32"/>
          <w:lang w:eastAsia="zh-CN"/>
          <w14:textFill>
            <w14:solidFill>
              <w14:schemeClr w14:val="tx1"/>
            </w14:solidFill>
          </w14:textFill>
        </w:rPr>
        <w:t>五、鉴定专家</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仿宋_GB2312" w:hAnsi="宋体" w:eastAsia="仿宋_GB2312" w:cs="宋体"/>
          <w:color w:val="000000" w:themeColor="text1"/>
          <w:sz w:val="32"/>
          <w:szCs w:val="32"/>
          <w:lang w:eastAsia="zh-CN"/>
          <w14:textFill>
            <w14:solidFill>
              <w14:schemeClr w14:val="tx1"/>
            </w14:solidFill>
          </w14:textFill>
        </w:rPr>
      </w:pPr>
      <w:r>
        <w:rPr>
          <w:rFonts w:hint="eastAsia" w:ascii="仿宋_GB2312" w:hAnsi="宋体" w:eastAsia="仿宋_GB2312" w:cs="宋体"/>
          <w:color w:val="000000" w:themeColor="text1"/>
          <w:sz w:val="32"/>
          <w:szCs w:val="32"/>
          <w:lang w:eastAsia="zh-CN"/>
          <w14:textFill>
            <w14:solidFill>
              <w14:schemeClr w14:val="tx1"/>
            </w14:solidFill>
          </w14:textFill>
        </w:rPr>
        <w:t>每次鉴定工作由3位及以上专家组成专家组，涵盖教育、法律等方面，并且专家应当符合以下条件：</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仿宋_GB2312" w:hAnsi="宋体" w:eastAsia="仿宋_GB2312" w:cs="宋体"/>
          <w:color w:val="000000" w:themeColor="text1"/>
          <w:sz w:val="32"/>
          <w:szCs w:val="32"/>
          <w:lang w:eastAsia="zh-CN"/>
          <w14:textFill>
            <w14:solidFill>
              <w14:schemeClr w14:val="tx1"/>
            </w14:solidFill>
          </w14:textFill>
        </w:rPr>
      </w:pPr>
      <w:r>
        <w:rPr>
          <w:rFonts w:hint="eastAsia" w:ascii="仿宋_GB2312" w:hAnsi="宋体" w:eastAsia="仿宋_GB2312" w:cs="宋体"/>
          <w:color w:val="000000" w:themeColor="text1"/>
          <w:sz w:val="32"/>
          <w:szCs w:val="32"/>
          <w:lang w:eastAsia="zh-CN"/>
          <w14:textFill>
            <w14:solidFill>
              <w14:schemeClr w14:val="tx1"/>
            </w14:solidFill>
          </w14:textFill>
        </w:rPr>
        <w:t>（一）政治立场坚定，正确理解党的教育方针，能够从中华民族伟大复兴的历史高度深刻领悟中央政策的重大意义；</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仿宋_GB2312" w:hAnsi="宋体" w:eastAsia="仿宋_GB2312" w:cs="宋体"/>
          <w:color w:val="000000" w:themeColor="text1"/>
          <w:sz w:val="32"/>
          <w:szCs w:val="32"/>
          <w:lang w:eastAsia="zh-CN"/>
          <w14:textFill>
            <w14:solidFill>
              <w14:schemeClr w14:val="tx1"/>
            </w14:solidFill>
          </w14:textFill>
        </w:rPr>
      </w:pPr>
      <w:r>
        <w:rPr>
          <w:rFonts w:hint="eastAsia" w:ascii="仿宋_GB2312" w:hAnsi="宋体" w:eastAsia="仿宋_GB2312" w:cs="宋体"/>
          <w:color w:val="000000" w:themeColor="text1"/>
          <w:sz w:val="32"/>
          <w:szCs w:val="32"/>
          <w:lang w:eastAsia="zh-CN"/>
          <w14:textFill>
            <w14:solidFill>
              <w14:schemeClr w14:val="tx1"/>
            </w14:solidFill>
          </w14:textFill>
        </w:rPr>
        <w:t>（二）遵纪守法，有良好的品行、社会形象和师德师风；</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仿宋_GB2312" w:hAnsi="宋体" w:eastAsia="仿宋_GB2312" w:cs="宋体"/>
          <w:color w:val="000000" w:themeColor="text1"/>
          <w:sz w:val="32"/>
          <w:szCs w:val="32"/>
          <w:lang w:eastAsia="zh-CN"/>
          <w14:textFill>
            <w14:solidFill>
              <w14:schemeClr w14:val="tx1"/>
            </w14:solidFill>
          </w14:textFill>
        </w:rPr>
      </w:pPr>
      <w:r>
        <w:rPr>
          <w:rFonts w:hint="eastAsia" w:ascii="仿宋_GB2312" w:hAnsi="宋体" w:eastAsia="仿宋_GB2312" w:cs="宋体"/>
          <w:color w:val="000000" w:themeColor="text1"/>
          <w:sz w:val="32"/>
          <w:szCs w:val="32"/>
          <w:lang w:eastAsia="zh-CN"/>
          <w14:textFill>
            <w14:solidFill>
              <w14:schemeClr w14:val="tx1"/>
            </w14:solidFill>
          </w14:textFill>
        </w:rPr>
        <w:t>（三）教育方面的专家应当准确理解相关的政策法规，熟悉课程方案和相关的学科课程标准及教材，具有副高级以上专业技术职称；</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仿宋_GB2312" w:hAnsi="宋体" w:eastAsia="仿宋_GB2312" w:cs="宋体"/>
          <w:color w:val="000000" w:themeColor="text1"/>
          <w:sz w:val="32"/>
          <w:szCs w:val="32"/>
          <w:lang w:eastAsia="zh-CN"/>
          <w14:textFill>
            <w14:solidFill>
              <w14:schemeClr w14:val="tx1"/>
            </w14:solidFill>
          </w14:textFill>
        </w:rPr>
      </w:pPr>
      <w:r>
        <w:rPr>
          <w:rFonts w:hint="eastAsia" w:ascii="仿宋_GB2312" w:hAnsi="宋体" w:eastAsia="仿宋_GB2312" w:cs="宋体"/>
          <w:color w:val="000000" w:themeColor="text1"/>
          <w:sz w:val="32"/>
          <w:szCs w:val="32"/>
          <w:lang w:eastAsia="zh-CN"/>
          <w14:textFill>
            <w14:solidFill>
              <w14:schemeClr w14:val="tx1"/>
            </w14:solidFill>
          </w14:textFill>
        </w:rPr>
        <w:t>（四）法律方面的专家应当准确理解和把握行政管理方面的法律法规，熟悉柳州市基层治理情况；</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仿宋_GB2312" w:hAnsi="宋体" w:eastAsia="仿宋_GB2312" w:cs="宋体"/>
          <w:color w:val="000000" w:themeColor="text1"/>
          <w:sz w:val="32"/>
          <w:szCs w:val="32"/>
          <w:lang w:eastAsia="zh-CN"/>
          <w14:textFill>
            <w14:solidFill>
              <w14:schemeClr w14:val="tx1"/>
            </w14:solidFill>
          </w14:textFill>
        </w:rPr>
      </w:pPr>
      <w:r>
        <w:rPr>
          <w:rFonts w:hint="eastAsia" w:ascii="仿宋_GB2312" w:hAnsi="宋体" w:eastAsia="仿宋_GB2312" w:cs="宋体"/>
          <w:color w:val="000000" w:themeColor="text1"/>
          <w:sz w:val="32"/>
          <w:szCs w:val="32"/>
          <w:lang w:eastAsia="zh-CN"/>
          <w14:textFill>
            <w14:solidFill>
              <w14:schemeClr w14:val="tx1"/>
            </w14:solidFill>
          </w14:textFill>
        </w:rPr>
        <w:t>（五）未在待鉴定校外培训机构中兼职。</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方正黑体_GBK" w:hAnsi="方正黑体_GBK" w:eastAsia="方正黑体_GBK" w:cs="方正黑体_GBK"/>
          <w:b w:val="0"/>
          <w:bCs w:val="0"/>
          <w:color w:val="000000" w:themeColor="text1"/>
          <w:sz w:val="32"/>
          <w:szCs w:val="32"/>
          <w:lang w:eastAsia="zh-CN"/>
          <w14:textFill>
            <w14:solidFill>
              <w14:schemeClr w14:val="tx1"/>
            </w14:solidFill>
          </w14:textFill>
        </w:rPr>
      </w:pPr>
      <w:r>
        <w:rPr>
          <w:rFonts w:hint="eastAsia" w:ascii="方正黑体_GBK" w:hAnsi="方正黑体_GBK" w:eastAsia="方正黑体_GBK" w:cs="方正黑体_GBK"/>
          <w:b w:val="0"/>
          <w:bCs w:val="0"/>
          <w:color w:val="000000" w:themeColor="text1"/>
          <w:sz w:val="32"/>
          <w:szCs w:val="32"/>
          <w:lang w:eastAsia="zh-CN"/>
          <w14:textFill>
            <w14:solidFill>
              <w14:schemeClr w14:val="tx1"/>
            </w14:solidFill>
          </w14:textFill>
        </w:rPr>
        <w:t>六、鉴定流程</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仿宋_GB2312" w:hAnsi="宋体" w:eastAsia="仿宋_GB2312" w:cs="宋体"/>
          <w:color w:val="000000" w:themeColor="text1"/>
          <w:sz w:val="32"/>
          <w:szCs w:val="32"/>
          <w:lang w:eastAsia="zh-CN"/>
          <w14:textFill>
            <w14:solidFill>
              <w14:schemeClr w14:val="tx1"/>
            </w14:solidFill>
          </w14:textFill>
        </w:rPr>
      </w:pPr>
      <w:r>
        <w:rPr>
          <w:rFonts w:hint="eastAsia" w:ascii="仿宋_GB2312" w:hAnsi="宋体" w:eastAsia="仿宋_GB2312" w:cs="宋体"/>
          <w:color w:val="000000" w:themeColor="text1"/>
          <w:sz w:val="32"/>
          <w:szCs w:val="32"/>
          <w:lang w:eastAsia="zh-CN"/>
          <w14:textFill>
            <w14:solidFill>
              <w14:schemeClr w14:val="tx1"/>
            </w14:solidFill>
          </w14:textFill>
        </w:rPr>
        <w:t>（一）申请鉴定。培训机构、各级职能部门以及其他相关各方对培训服务类别存在疑议的，可以根据管理权限，向市级或县区（新区）级专家鉴定机构申请鉴定。</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仿宋_GB2312" w:hAnsi="宋体" w:eastAsia="仿宋_GB2312" w:cs="宋体"/>
          <w:color w:val="000000" w:themeColor="text1"/>
          <w:sz w:val="32"/>
          <w:szCs w:val="32"/>
          <w:lang w:eastAsia="zh-CN"/>
          <w14:textFill>
            <w14:solidFill>
              <w14:schemeClr w14:val="tx1"/>
            </w14:solidFill>
          </w14:textFill>
        </w:rPr>
      </w:pPr>
      <w:r>
        <w:rPr>
          <w:rFonts w:hint="eastAsia" w:ascii="仿宋_GB2312" w:hAnsi="宋体" w:eastAsia="仿宋_GB2312" w:cs="宋体"/>
          <w:color w:val="000000" w:themeColor="text1"/>
          <w:sz w:val="32"/>
          <w:szCs w:val="32"/>
          <w:lang w:eastAsia="zh-CN"/>
          <w14:textFill>
            <w14:solidFill>
              <w14:schemeClr w14:val="tx1"/>
            </w14:solidFill>
          </w14:textFill>
        </w:rPr>
        <w:t>（二）鉴定方式。包括书面审查、实地查看、课堂观察、员工与学员及其家长访谈等。</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仿宋_GB2312" w:hAnsi="宋体" w:eastAsia="仿宋_GB2312" w:cs="宋体"/>
          <w:color w:val="000000" w:themeColor="text1"/>
          <w:sz w:val="32"/>
          <w:szCs w:val="32"/>
          <w:lang w:eastAsia="zh-CN"/>
          <w14:textFill>
            <w14:solidFill>
              <w14:schemeClr w14:val="tx1"/>
            </w14:solidFill>
          </w14:textFill>
        </w:rPr>
      </w:pPr>
      <w:r>
        <w:rPr>
          <w:rFonts w:hint="eastAsia" w:ascii="仿宋_GB2312" w:hAnsi="宋体" w:eastAsia="仿宋_GB2312" w:cs="宋体"/>
          <w:color w:val="000000" w:themeColor="text1"/>
          <w:sz w:val="32"/>
          <w:szCs w:val="32"/>
          <w:lang w:eastAsia="zh-CN"/>
          <w14:textFill>
            <w14:solidFill>
              <w14:schemeClr w14:val="tx1"/>
            </w14:solidFill>
          </w14:textFill>
        </w:rPr>
        <w:t>（三）鉴定内容。包括培训服务的对象、目标、内容、进度安排、实施方式、评价方式、所使用的教学资源或者培训材料等。</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仿宋_GB2312" w:hAnsi="宋体" w:eastAsia="仿宋_GB2312" w:cs="宋体"/>
          <w:color w:val="000000" w:themeColor="text1"/>
          <w:sz w:val="32"/>
          <w:szCs w:val="32"/>
          <w:lang w:eastAsia="zh-CN"/>
          <w14:textFill>
            <w14:solidFill>
              <w14:schemeClr w14:val="tx1"/>
            </w14:solidFill>
          </w14:textFill>
        </w:rPr>
      </w:pPr>
      <w:r>
        <w:rPr>
          <w:rFonts w:hint="eastAsia" w:ascii="仿宋_GB2312" w:hAnsi="宋体" w:eastAsia="仿宋_GB2312" w:cs="宋体"/>
          <w:color w:val="000000" w:themeColor="text1"/>
          <w:sz w:val="32"/>
          <w:szCs w:val="32"/>
          <w:lang w:eastAsia="zh-CN"/>
          <w14:textFill>
            <w14:solidFill>
              <w14:schemeClr w14:val="tx1"/>
            </w14:solidFill>
          </w14:textFill>
        </w:rPr>
        <w:t>（四）鉴定报告。鉴定结束后，专家组形成鉴定报告，明确“学科类”或者“非学科类”的鉴定结果，并注明参与鉴定的专家姓名及其专业职务。</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方正黑体_GBK" w:hAnsi="方正黑体_GBK" w:eastAsia="方正黑体_GBK" w:cs="方正黑体_GBK"/>
          <w:b w:val="0"/>
          <w:bCs w:val="0"/>
          <w:color w:val="000000" w:themeColor="text1"/>
          <w:sz w:val="32"/>
          <w:szCs w:val="32"/>
          <w:lang w:eastAsia="zh-CN"/>
          <w14:textFill>
            <w14:solidFill>
              <w14:schemeClr w14:val="tx1"/>
            </w14:solidFill>
          </w14:textFill>
        </w:rPr>
      </w:pPr>
      <w:r>
        <w:rPr>
          <w:rFonts w:hint="eastAsia" w:ascii="仿宋_GB2312" w:hAnsi="宋体" w:eastAsia="仿宋_GB2312" w:cs="宋体"/>
          <w:color w:val="000000" w:themeColor="text1"/>
          <w:sz w:val="32"/>
          <w:szCs w:val="32"/>
          <w:lang w:eastAsia="zh-CN"/>
          <w14:textFill>
            <w14:solidFill>
              <w14:schemeClr w14:val="tx1"/>
            </w14:solidFill>
          </w14:textFill>
        </w:rPr>
        <w:t>（五）结果应用。培训机构可以根据专家鉴定报告加强规范管理；相关职能部门可以将专家鉴定报告作为对培训机构实施监督管理的工作参考。</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宋体" w:eastAsia="仿宋_GB2312" w:cs="宋体"/>
          <w:color w:val="000000" w:themeColor="text1"/>
          <w:sz w:val="32"/>
          <w:szCs w:val="32"/>
          <w:lang w:eastAsia="zh-CN"/>
          <w14:textFill>
            <w14:solidFill>
              <w14:schemeClr w14:val="tx1"/>
            </w14:solidFill>
          </w14:textFill>
        </w:rPr>
      </w:pPr>
      <w:r>
        <w:rPr>
          <w:rFonts w:hint="eastAsia" w:ascii="方正黑体_GBK" w:hAnsi="方正黑体_GBK" w:eastAsia="方正黑体_GBK" w:cs="方正黑体_GBK"/>
          <w:b w:val="0"/>
          <w:bCs w:val="0"/>
          <w:color w:val="000000" w:themeColor="text1"/>
          <w:sz w:val="32"/>
          <w:szCs w:val="32"/>
          <w:lang w:eastAsia="zh-CN"/>
          <w14:textFill>
            <w14:solidFill>
              <w14:schemeClr w14:val="tx1"/>
            </w14:solidFill>
          </w14:textFill>
        </w:rPr>
        <w:t>七、柳州市中小学生校外培训服务类别鉴定指标</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firstLine="643" w:firstLineChars="200"/>
        <w:jc w:val="both"/>
        <w:textAlignment w:val="auto"/>
        <w:rPr>
          <w:rFonts w:hint="eastAsia" w:ascii="仿宋_GB2312" w:hAnsi="宋体" w:eastAsia="仿宋_GB2312" w:cs="宋体"/>
          <w:b/>
          <w:bCs/>
          <w:color w:val="000000" w:themeColor="text1"/>
          <w:sz w:val="32"/>
          <w:szCs w:val="32"/>
          <w:lang w:eastAsia="zh-CN"/>
          <w14:textFill>
            <w14:solidFill>
              <w14:schemeClr w14:val="tx1"/>
            </w14:solidFill>
          </w14:textFill>
        </w:rPr>
      </w:pPr>
      <w:r>
        <w:rPr>
          <w:rFonts w:hint="eastAsia" w:ascii="仿宋_GB2312" w:hAnsi="宋体" w:eastAsia="仿宋_GB2312" w:cs="宋体"/>
          <w:b/>
          <w:bCs/>
          <w:color w:val="000000" w:themeColor="text1"/>
          <w:sz w:val="32"/>
          <w:szCs w:val="32"/>
          <w:lang w:eastAsia="zh-CN"/>
          <w14:textFill>
            <w14:solidFill>
              <w14:schemeClr w14:val="tx1"/>
            </w14:solidFill>
          </w14:textFill>
        </w:rPr>
        <w:t> （一）鉴定原则</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仿宋_GB2312" w:hAnsi="宋体" w:eastAsia="仿宋_GB2312" w:cs="宋体"/>
          <w:color w:val="000000" w:themeColor="text1"/>
          <w:sz w:val="32"/>
          <w:szCs w:val="32"/>
          <w:lang w:eastAsia="zh-CN"/>
          <w14:textFill>
            <w14:solidFill>
              <w14:schemeClr w14:val="tx1"/>
            </w14:solidFill>
          </w14:textFill>
        </w:rPr>
      </w:pPr>
      <w:r>
        <w:rPr>
          <w:rFonts w:hint="eastAsia" w:ascii="仿宋_GB2312" w:hAnsi="宋体" w:eastAsia="仿宋_GB2312" w:cs="宋体"/>
          <w:color w:val="000000" w:themeColor="text1"/>
          <w:sz w:val="32"/>
          <w:szCs w:val="32"/>
          <w:lang w:eastAsia="zh-CN"/>
          <w14:textFill>
            <w14:solidFill>
              <w14:schemeClr w14:val="tx1"/>
            </w14:solidFill>
          </w14:textFill>
        </w:rPr>
        <w:t>对中小学生校外培训服务类别进行鉴定，应当遵循如下原则：</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仿宋_GB2312" w:hAnsi="宋体" w:eastAsia="仿宋_GB2312" w:cs="宋体"/>
          <w:color w:val="000000" w:themeColor="text1"/>
          <w:sz w:val="32"/>
          <w:szCs w:val="32"/>
          <w:lang w:eastAsia="zh-CN"/>
          <w14:textFill>
            <w14:solidFill>
              <w14:schemeClr w14:val="tx1"/>
            </w14:solidFill>
          </w14:textFill>
        </w:rPr>
      </w:pPr>
      <w:r>
        <w:rPr>
          <w:rFonts w:hint="eastAsia" w:ascii="仿宋_GB2312" w:hAnsi="宋体" w:eastAsia="仿宋_GB2312" w:cs="宋体"/>
          <w:color w:val="000000" w:themeColor="text1"/>
          <w:sz w:val="32"/>
          <w:szCs w:val="32"/>
          <w:lang w:eastAsia="zh-CN"/>
          <w14:textFill>
            <w14:solidFill>
              <w14:schemeClr w14:val="tx1"/>
            </w14:solidFill>
          </w14:textFill>
        </w:rPr>
        <w:t>1.合规性原则：鉴定工作必须严格遵守国家相关法律法规与政策文件规定，优先服务于中小学生健康成长，切实减轻中小学生作业负担和校外培训负担，防范假借非学科类培训项目实际开展学科类培训服务等逃避监管的行为。</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仿宋_GB2312" w:hAnsi="宋体" w:eastAsia="仿宋_GB2312" w:cs="宋体"/>
          <w:color w:val="000000" w:themeColor="text1"/>
          <w:sz w:val="32"/>
          <w:szCs w:val="32"/>
          <w:lang w:eastAsia="zh-CN"/>
          <w14:textFill>
            <w14:solidFill>
              <w14:schemeClr w14:val="tx1"/>
            </w14:solidFill>
          </w14:textFill>
        </w:rPr>
      </w:pPr>
      <w:r>
        <w:rPr>
          <w:rFonts w:hint="eastAsia" w:ascii="仿宋_GB2312" w:hAnsi="宋体" w:eastAsia="仿宋_GB2312" w:cs="宋体"/>
          <w:color w:val="000000" w:themeColor="text1"/>
          <w:sz w:val="32"/>
          <w:szCs w:val="32"/>
          <w:lang w:eastAsia="zh-CN"/>
          <w14:textFill>
            <w14:solidFill>
              <w14:schemeClr w14:val="tx1"/>
            </w14:solidFill>
          </w14:textFill>
        </w:rPr>
        <w:t>2.独立性原则：提供鉴定服务的专家与专业机构在开展鉴定工作时，不受外界干扰，保证鉴定工作的真实性、客观性和公正性。</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仿宋_GB2312" w:hAnsi="宋体" w:eastAsia="仿宋_GB2312" w:cs="宋体"/>
          <w:color w:val="000000" w:themeColor="text1"/>
          <w:sz w:val="32"/>
          <w:szCs w:val="32"/>
          <w:lang w:eastAsia="zh-CN"/>
          <w14:textFill>
            <w14:solidFill>
              <w14:schemeClr w14:val="tx1"/>
            </w14:solidFill>
          </w14:textFill>
        </w:rPr>
      </w:pPr>
      <w:r>
        <w:rPr>
          <w:rFonts w:hint="eastAsia" w:ascii="仿宋_GB2312" w:hAnsi="宋体" w:eastAsia="仿宋_GB2312" w:cs="宋体"/>
          <w:color w:val="000000" w:themeColor="text1"/>
          <w:sz w:val="32"/>
          <w:szCs w:val="32"/>
          <w:lang w:eastAsia="zh-CN"/>
          <w14:textFill>
            <w14:solidFill>
              <w14:schemeClr w14:val="tx1"/>
            </w14:solidFill>
          </w14:textFill>
        </w:rPr>
        <w:t>3.专业性原则：综合发挥专家在教育理论、法律法规等方面的专业作用，科学甄别培训服务类别、准确识别超前超标学科类培训现象，为分类管理提供依据。</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firstLine="643" w:firstLineChars="200"/>
        <w:jc w:val="both"/>
        <w:textAlignment w:val="auto"/>
        <w:rPr>
          <w:rFonts w:hint="eastAsia" w:ascii="仿宋_GB2312" w:hAnsi="宋体" w:eastAsia="仿宋_GB2312" w:cs="宋体"/>
          <w:b/>
          <w:bCs/>
          <w:color w:val="000000" w:themeColor="text1"/>
          <w:sz w:val="32"/>
          <w:szCs w:val="32"/>
          <w:lang w:eastAsia="zh-CN"/>
          <w14:textFill>
            <w14:solidFill>
              <w14:schemeClr w14:val="tx1"/>
            </w14:solidFill>
          </w14:textFill>
        </w:rPr>
      </w:pPr>
      <w:r>
        <w:rPr>
          <w:rFonts w:hint="eastAsia" w:ascii="仿宋_GB2312" w:hAnsi="宋体" w:eastAsia="仿宋_GB2312" w:cs="宋体"/>
          <w:b/>
          <w:bCs/>
          <w:color w:val="000000" w:themeColor="text1"/>
          <w:sz w:val="32"/>
          <w:szCs w:val="32"/>
          <w:lang w:eastAsia="zh-CN"/>
          <w14:textFill>
            <w14:solidFill>
              <w14:schemeClr w14:val="tx1"/>
            </w14:solidFill>
          </w14:textFill>
        </w:rPr>
        <w:t>（二）学科类培训鉴定指标</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仿宋_GB2312" w:hAnsi="宋体" w:eastAsia="仿宋_GB2312" w:cs="宋体"/>
          <w:color w:val="000000" w:themeColor="text1"/>
          <w:sz w:val="32"/>
          <w:szCs w:val="32"/>
          <w:lang w:eastAsia="zh-CN"/>
          <w14:textFill>
            <w14:solidFill>
              <w14:schemeClr w14:val="tx1"/>
            </w14:solidFill>
          </w14:textFill>
        </w:rPr>
      </w:pPr>
      <w:r>
        <w:rPr>
          <w:rFonts w:hint="eastAsia" w:ascii="仿宋_GB2312" w:hAnsi="宋体" w:eastAsia="仿宋_GB2312" w:cs="宋体"/>
          <w:color w:val="000000" w:themeColor="text1"/>
          <w:sz w:val="32"/>
          <w:szCs w:val="32"/>
          <w:lang w:eastAsia="zh-CN"/>
          <w14:textFill>
            <w14:solidFill>
              <w14:schemeClr w14:val="tx1"/>
            </w14:solidFill>
          </w14:textFill>
        </w:rPr>
        <w:t>对中小学生校外培训机构培训服务类别进行鉴定，应当根据培训服务的实际情况，重点基于如下指标进行审查鉴定，凡是符合相应指标特征的，视为学科类培训：</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仿宋_GB2312" w:hAnsi="宋体" w:eastAsia="仿宋_GB2312" w:cs="宋体"/>
          <w:color w:val="000000" w:themeColor="text1"/>
          <w:sz w:val="32"/>
          <w:szCs w:val="32"/>
          <w:lang w:eastAsia="zh-CN"/>
          <w14:textFill>
            <w14:solidFill>
              <w14:schemeClr w14:val="tx1"/>
            </w14:solidFill>
          </w14:textFill>
        </w:rPr>
      </w:pPr>
      <w:r>
        <w:rPr>
          <w:rFonts w:hint="eastAsia" w:ascii="仿宋_GB2312" w:hAnsi="宋体" w:eastAsia="仿宋_GB2312" w:cs="宋体"/>
          <w:color w:val="000000" w:themeColor="text1"/>
          <w:sz w:val="32"/>
          <w:szCs w:val="32"/>
          <w:lang w:eastAsia="zh-CN"/>
          <w14:textFill>
            <w14:solidFill>
              <w14:schemeClr w14:val="tx1"/>
            </w14:solidFill>
          </w14:textFill>
        </w:rPr>
        <w:t>1.目的：旨在提高学生学业水平，为升学考试服务，属于学科知识导向。</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仿宋_GB2312" w:hAnsi="宋体" w:eastAsia="仿宋_GB2312" w:cs="宋体"/>
          <w:color w:val="000000" w:themeColor="text1"/>
          <w:sz w:val="32"/>
          <w:szCs w:val="32"/>
          <w:lang w:eastAsia="zh-CN"/>
          <w14:textFill>
            <w14:solidFill>
              <w14:schemeClr w14:val="tx1"/>
            </w14:solidFill>
          </w14:textFill>
        </w:rPr>
      </w:pPr>
      <w:r>
        <w:rPr>
          <w:rFonts w:hint="eastAsia" w:ascii="仿宋_GB2312" w:hAnsi="宋体" w:eastAsia="仿宋_GB2312" w:cs="宋体"/>
          <w:color w:val="000000" w:themeColor="text1"/>
          <w:sz w:val="32"/>
          <w:szCs w:val="32"/>
          <w:lang w:eastAsia="zh-CN"/>
          <w14:textFill>
            <w14:solidFill>
              <w14:schemeClr w14:val="tx1"/>
            </w14:solidFill>
          </w14:textFill>
        </w:rPr>
        <w:t>2.内容：培训服务内容围绕道德与法治、语文、历史、地理、数学、外语（英语、日语、俄语、德语、法语和西班牙语）、物理、化学、生物等国家课程标准规定的学科类学习内容。</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仿宋_GB2312" w:hAnsi="宋体" w:eastAsia="仿宋_GB2312" w:cs="宋体"/>
          <w:color w:val="000000" w:themeColor="text1"/>
          <w:sz w:val="32"/>
          <w:szCs w:val="32"/>
          <w:lang w:eastAsia="zh-CN"/>
          <w14:textFill>
            <w14:solidFill>
              <w14:schemeClr w14:val="tx1"/>
            </w14:solidFill>
          </w14:textFill>
        </w:rPr>
      </w:pPr>
      <w:r>
        <w:rPr>
          <w:rFonts w:hint="eastAsia" w:ascii="仿宋_GB2312" w:hAnsi="宋体" w:eastAsia="仿宋_GB2312" w:cs="宋体"/>
          <w:color w:val="000000" w:themeColor="text1"/>
          <w:sz w:val="32"/>
          <w:szCs w:val="32"/>
          <w:lang w:eastAsia="zh-CN"/>
          <w14:textFill>
            <w14:solidFill>
              <w14:schemeClr w14:val="tx1"/>
            </w14:solidFill>
          </w14:textFill>
        </w:rPr>
        <w:t>3.方式：以学科类试题或者知识点的讲解、重复读写练习等为主要方式，以预习、授课和作业辅导等为主要过程，以教师讲授示范、学生听课等为主要形式。</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仿宋_GB2312" w:hAnsi="宋体" w:eastAsia="仿宋_GB2312" w:cs="宋体"/>
          <w:color w:val="000000" w:themeColor="text1"/>
          <w:sz w:val="32"/>
          <w:szCs w:val="32"/>
          <w:lang w:eastAsia="zh-CN"/>
          <w14:textFill>
            <w14:solidFill>
              <w14:schemeClr w14:val="tx1"/>
            </w14:solidFill>
          </w14:textFill>
        </w:rPr>
      </w:pPr>
      <w:r>
        <w:rPr>
          <w:rFonts w:hint="eastAsia" w:ascii="仿宋_GB2312" w:hAnsi="宋体" w:eastAsia="仿宋_GB2312" w:cs="宋体"/>
          <w:color w:val="000000" w:themeColor="text1"/>
          <w:sz w:val="32"/>
          <w:szCs w:val="32"/>
          <w:lang w:eastAsia="zh-CN"/>
          <w14:textFill>
            <w14:solidFill>
              <w14:schemeClr w14:val="tx1"/>
            </w14:solidFill>
          </w14:textFill>
        </w:rPr>
        <w:t>4.评价：对学生的评价强调甄别与选拔，以学业成就及学科类考试的成绩等为主要评价标准。</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firstLine="643" w:firstLineChars="200"/>
        <w:jc w:val="both"/>
        <w:textAlignment w:val="auto"/>
        <w:rPr>
          <w:rFonts w:hint="eastAsia" w:ascii="仿宋_GB2312" w:hAnsi="宋体" w:eastAsia="仿宋_GB2312" w:cs="宋体"/>
          <w:b/>
          <w:bCs/>
          <w:color w:val="000000" w:themeColor="text1"/>
          <w:sz w:val="32"/>
          <w:szCs w:val="32"/>
          <w:lang w:eastAsia="zh-CN"/>
          <w14:textFill>
            <w14:solidFill>
              <w14:schemeClr w14:val="tx1"/>
            </w14:solidFill>
          </w14:textFill>
        </w:rPr>
      </w:pPr>
      <w:r>
        <w:rPr>
          <w:rFonts w:hint="eastAsia" w:ascii="仿宋_GB2312" w:hAnsi="宋体" w:eastAsia="仿宋_GB2312" w:cs="宋体"/>
          <w:b/>
          <w:bCs/>
          <w:color w:val="000000" w:themeColor="text1"/>
          <w:sz w:val="32"/>
          <w:szCs w:val="32"/>
          <w:lang w:eastAsia="zh-CN"/>
          <w14:textFill>
            <w14:solidFill>
              <w14:schemeClr w14:val="tx1"/>
            </w14:solidFill>
          </w14:textFill>
        </w:rPr>
        <w:t>（三）非学科类培训鉴定指标</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宋体" w:eastAsia="仿宋_GB2312" w:cs="宋体"/>
          <w:color w:val="000000" w:themeColor="text1"/>
          <w:sz w:val="32"/>
          <w:szCs w:val="32"/>
          <w:lang w:eastAsia="zh-CN"/>
          <w14:textFill>
            <w14:solidFill>
              <w14:schemeClr w14:val="tx1"/>
            </w14:solidFill>
          </w14:textFill>
        </w:rPr>
      </w:pPr>
      <w:r>
        <w:rPr>
          <w:rFonts w:hint="eastAsia" w:ascii="仿宋_GB2312" w:hAnsi="宋体" w:eastAsia="仿宋_GB2312" w:cs="宋体"/>
          <w:color w:val="000000" w:themeColor="text1"/>
          <w:sz w:val="32"/>
          <w:szCs w:val="32"/>
          <w:lang w:eastAsia="zh-CN"/>
          <w14:textFill>
            <w14:solidFill>
              <w14:schemeClr w14:val="tx1"/>
            </w14:solidFill>
          </w14:textFill>
        </w:rPr>
        <w:t>校外培训机构培训服务全面符合如下指标特征的，视为非学科类培训：</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仿宋_GB2312" w:hAnsi="宋体" w:eastAsia="仿宋_GB2312" w:cs="宋体"/>
          <w:color w:val="000000" w:themeColor="text1"/>
          <w:sz w:val="32"/>
          <w:szCs w:val="32"/>
          <w:lang w:eastAsia="zh-CN"/>
          <w14:textFill>
            <w14:solidFill>
              <w14:schemeClr w14:val="tx1"/>
            </w14:solidFill>
          </w14:textFill>
        </w:rPr>
      </w:pPr>
      <w:r>
        <w:rPr>
          <w:rFonts w:hint="eastAsia" w:ascii="仿宋_GB2312" w:hAnsi="宋体" w:eastAsia="仿宋_GB2312" w:cs="宋体"/>
          <w:color w:val="000000" w:themeColor="text1"/>
          <w:sz w:val="32"/>
          <w:szCs w:val="32"/>
          <w:lang w:eastAsia="zh-CN"/>
          <w14:textFill>
            <w14:solidFill>
              <w14:schemeClr w14:val="tx1"/>
            </w14:solidFill>
          </w14:textFill>
        </w:rPr>
        <w:t>1.目的：旨在发展中小学生核心素养，培养学生兴趣爱好、创新精神和实践能力，促进学生个性化发展和全面发展。</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仿宋_GB2312" w:hAnsi="宋体" w:eastAsia="仿宋_GB2312" w:cs="宋体"/>
          <w:color w:val="000000" w:themeColor="text1"/>
          <w:sz w:val="32"/>
          <w:szCs w:val="32"/>
          <w:lang w:eastAsia="zh-CN"/>
          <w14:textFill>
            <w14:solidFill>
              <w14:schemeClr w14:val="tx1"/>
            </w14:solidFill>
          </w14:textFill>
        </w:rPr>
      </w:pPr>
      <w:r>
        <w:rPr>
          <w:rFonts w:hint="eastAsia" w:ascii="仿宋_GB2312" w:hAnsi="宋体" w:eastAsia="仿宋_GB2312" w:cs="宋体"/>
          <w:color w:val="000000" w:themeColor="text1"/>
          <w:sz w:val="32"/>
          <w:szCs w:val="32"/>
          <w:lang w:eastAsia="zh-CN"/>
          <w14:textFill>
            <w14:solidFill>
              <w14:schemeClr w14:val="tx1"/>
            </w14:solidFill>
          </w14:textFill>
        </w:rPr>
        <w:t>2.内容：在道德与法治、语文、历史、地理、数学、外语（英语、日语、俄语、德语、法语和西班牙语）、物理、化学、生物等国家课程标准规定的学科类学习内容以外，符合国家法律法规要求和学习者身心发展规律的其他学习内容。</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仿宋_GB2312" w:hAnsi="宋体" w:eastAsia="仿宋_GB2312" w:cs="宋体"/>
          <w:color w:val="000000" w:themeColor="text1"/>
          <w:sz w:val="32"/>
          <w:szCs w:val="32"/>
          <w:lang w:eastAsia="zh-CN"/>
          <w14:textFill>
            <w14:solidFill>
              <w14:schemeClr w14:val="tx1"/>
            </w14:solidFill>
          </w14:textFill>
        </w:rPr>
      </w:pPr>
      <w:r>
        <w:rPr>
          <w:rFonts w:hint="eastAsia" w:ascii="仿宋_GB2312" w:hAnsi="宋体" w:eastAsia="仿宋_GB2312" w:cs="宋体"/>
          <w:color w:val="000000" w:themeColor="text1"/>
          <w:sz w:val="32"/>
          <w:szCs w:val="32"/>
          <w:lang w:eastAsia="zh-CN"/>
          <w14:textFill>
            <w14:solidFill>
              <w14:schemeClr w14:val="tx1"/>
            </w14:solidFill>
          </w14:textFill>
        </w:rPr>
        <w:t>3.方式：以体验式、探究式、项目式、综合性学习为主要方式，以身体性、实践性、创造性等活动为主要过程，以教师指导、学生实践探索为主要形式。</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仿宋_GB2312" w:hAnsi="宋体" w:eastAsia="仿宋_GB2312" w:cs="宋体"/>
          <w:color w:val="000000" w:themeColor="text1"/>
          <w:sz w:val="32"/>
          <w:szCs w:val="32"/>
          <w:lang w:eastAsia="zh-CN"/>
          <w14:textFill>
            <w14:solidFill>
              <w14:schemeClr w14:val="tx1"/>
            </w14:solidFill>
          </w14:textFill>
        </w:rPr>
      </w:pPr>
      <w:r>
        <w:rPr>
          <w:rFonts w:hint="eastAsia" w:ascii="仿宋_GB2312" w:hAnsi="宋体" w:eastAsia="仿宋_GB2312" w:cs="宋体"/>
          <w:color w:val="000000" w:themeColor="text1"/>
          <w:sz w:val="32"/>
          <w:szCs w:val="32"/>
          <w:lang w:eastAsia="zh-CN"/>
          <w14:textFill>
            <w14:solidFill>
              <w14:schemeClr w14:val="tx1"/>
            </w14:solidFill>
          </w14:textFill>
        </w:rPr>
        <w:t>4.评价：对学生的评价强调综合素质水平与发展，以表现性评价为主，注重教学评一致性，不涉及学业成就与学科类考试成绩。</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仿宋_GB2312" w:hAnsi="宋体" w:eastAsia="仿宋_GB2312" w:cs="宋体"/>
          <w:color w:val="000000" w:themeColor="text1"/>
          <w:sz w:val="32"/>
          <w:szCs w:val="32"/>
          <w:lang w:eastAsia="zh-CN"/>
          <w14:textFill>
            <w14:solidFill>
              <w14:schemeClr w14:val="tx1"/>
            </w14:solidFill>
          </w14:textFill>
        </w:rPr>
      </w:pPr>
      <w:r>
        <w:rPr>
          <w:rFonts w:hint="eastAsia" w:ascii="仿宋_GB2312" w:hAnsi="宋体" w:eastAsia="仿宋_GB2312" w:cs="宋体"/>
          <w:color w:val="000000" w:themeColor="text1"/>
          <w:sz w:val="32"/>
          <w:szCs w:val="32"/>
          <w:lang w:eastAsia="zh-CN"/>
          <w14:textFill>
            <w14:solidFill>
              <w14:schemeClr w14:val="tx1"/>
            </w14:solidFill>
          </w14:textFill>
        </w:rPr>
        <w:t>表现性评价，指的是通过客观测验以外的行动、表演、展示、操作、写作等更真实的表现来评价学生口头表达能力、文字表达能力、思维能力、创造能力、实践能力的评价方法。表现性评价又可以分为两种，一种是限制式的表现性评价，一种是开放式（或扩展式）的表现性评价。</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仿宋_GB2312" w:hAnsi="宋体" w:eastAsia="仿宋_GB2312" w:cs="宋体"/>
          <w:color w:val="000000" w:themeColor="text1"/>
          <w:sz w:val="32"/>
          <w:szCs w:val="32"/>
          <w:lang w:eastAsia="zh-CN"/>
          <w14:textFill>
            <w14:solidFill>
              <w14:schemeClr w14:val="tx1"/>
            </w14:solidFill>
          </w14:textFill>
        </w:rPr>
      </w:pPr>
      <w:r>
        <w:rPr>
          <w:rFonts w:hint="eastAsia" w:ascii="仿宋_GB2312" w:hAnsi="宋体" w:eastAsia="仿宋_GB2312" w:cs="宋体"/>
          <w:color w:val="000000" w:themeColor="text1"/>
          <w:sz w:val="32"/>
          <w:szCs w:val="32"/>
          <w:lang w:eastAsia="zh-CN"/>
          <w14:textFill>
            <w14:solidFill>
              <w14:schemeClr w14:val="tx1"/>
            </w14:solidFill>
          </w14:textFill>
        </w:rPr>
        <w:t>限制式表现性评价，对评价的任务、目标有非常明确的要求，而且对被评价者的行动做了一定的限制。例如传统的闭卷考试其实就属于一种典型的限制式的表现性评价。</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仿宋_GB2312" w:hAnsi="宋体" w:eastAsia="仿宋_GB2312" w:cs="宋体"/>
          <w:color w:val="000000" w:themeColor="text1"/>
          <w:sz w:val="32"/>
          <w:szCs w:val="32"/>
          <w:lang w:eastAsia="zh-CN"/>
          <w14:textFill>
            <w14:solidFill>
              <w14:schemeClr w14:val="tx1"/>
            </w14:solidFill>
          </w14:textFill>
        </w:rPr>
      </w:pPr>
      <w:r>
        <w:rPr>
          <w:rFonts w:hint="eastAsia" w:ascii="仿宋_GB2312" w:hAnsi="宋体" w:eastAsia="仿宋_GB2312" w:cs="宋体"/>
          <w:color w:val="000000" w:themeColor="text1"/>
          <w:sz w:val="32"/>
          <w:szCs w:val="32"/>
          <w:lang w:eastAsia="zh-CN"/>
          <w14:textFill>
            <w14:solidFill>
              <w14:schemeClr w14:val="tx1"/>
            </w14:solidFill>
          </w14:textFill>
        </w:rPr>
        <w:t>开放式表现性评价，是一种对被评价者完成评价人物的材料、方法、结果不做限制要求的评价方法。例如：要求学生以抗日战争为主题</w:t>
      </w:r>
      <w:r>
        <w:rPr>
          <w:rFonts w:hint="eastAsia" w:ascii="仿宋_GB2312" w:eastAsia="仿宋_GB2312" w:cs="宋体"/>
          <w:color w:val="000000" w:themeColor="text1"/>
          <w:sz w:val="32"/>
          <w:szCs w:val="32"/>
          <w:lang w:eastAsia="zh-CN"/>
          <w14:textFill>
            <w14:solidFill>
              <w14:schemeClr w14:val="tx1"/>
            </w14:solidFill>
          </w14:textFill>
        </w:rPr>
        <w:t>作</w:t>
      </w:r>
      <w:r>
        <w:rPr>
          <w:rFonts w:hint="eastAsia" w:ascii="仿宋_GB2312" w:hAnsi="宋体" w:eastAsia="仿宋_GB2312" w:cs="宋体"/>
          <w:color w:val="000000" w:themeColor="text1"/>
          <w:sz w:val="32"/>
          <w:szCs w:val="32"/>
          <w:lang w:eastAsia="zh-CN"/>
          <w14:textFill>
            <w14:solidFill>
              <w14:schemeClr w14:val="tx1"/>
            </w14:solidFill>
          </w14:textFill>
        </w:rPr>
        <w:t>一次演讲发言就是一种开放式的表现性评价。</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方正黑体_GBK" w:hAnsi="方正黑体_GBK" w:eastAsia="方正黑体_GBK" w:cs="方正黑体_GBK"/>
          <w:b w:val="0"/>
          <w:bCs w:val="0"/>
          <w:color w:val="000000" w:themeColor="text1"/>
          <w:sz w:val="32"/>
          <w:szCs w:val="32"/>
          <w:lang w:eastAsia="zh-CN"/>
          <w14:textFill>
            <w14:solidFill>
              <w14:schemeClr w14:val="tx1"/>
            </w14:solidFill>
          </w14:textFill>
        </w:rPr>
      </w:pPr>
      <w:r>
        <w:rPr>
          <w:rFonts w:hint="eastAsia" w:ascii="方正黑体_GBK" w:hAnsi="方正黑体_GBK" w:eastAsia="方正黑体_GBK" w:cs="方正黑体_GBK"/>
          <w:b w:val="0"/>
          <w:bCs w:val="0"/>
          <w:color w:val="000000" w:themeColor="text1"/>
          <w:sz w:val="32"/>
          <w:szCs w:val="32"/>
          <w:lang w:eastAsia="zh-CN"/>
          <w14:textFill>
            <w14:solidFill>
              <w14:schemeClr w14:val="tx1"/>
            </w14:solidFill>
          </w14:textFill>
        </w:rPr>
        <w:t>八、责任追究</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仿宋_GB2312" w:hAnsi="宋体" w:eastAsia="仿宋_GB2312" w:cs="宋体"/>
          <w:color w:val="000000" w:themeColor="text1"/>
          <w:sz w:val="32"/>
          <w:szCs w:val="32"/>
          <w:lang w:eastAsia="zh-CN"/>
          <w14:textFill>
            <w14:solidFill>
              <w14:schemeClr w14:val="tx1"/>
            </w14:solidFill>
          </w14:textFill>
        </w:rPr>
      </w:pPr>
      <w:r>
        <w:rPr>
          <w:rFonts w:hint="eastAsia" w:ascii="仿宋_GB2312" w:hAnsi="宋体" w:eastAsia="仿宋_GB2312" w:cs="宋体"/>
          <w:color w:val="000000" w:themeColor="text1"/>
          <w:sz w:val="32"/>
          <w:szCs w:val="32"/>
          <w:lang w:eastAsia="zh-CN"/>
          <w14:textFill>
            <w14:solidFill>
              <w14:schemeClr w14:val="tx1"/>
            </w14:solidFill>
          </w14:textFill>
        </w:rPr>
        <w:t>相关职能部门及其工作人员在专家鉴定工作中存在违纪违法行为的，根据具体情形由其上级机关或者相关部门予以处理。</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仿宋_GB2312" w:hAnsi="宋体" w:eastAsia="仿宋_GB2312" w:cs="宋体"/>
          <w:color w:val="000000" w:themeColor="text1"/>
          <w:sz w:val="32"/>
          <w:szCs w:val="32"/>
          <w:lang w:eastAsia="zh-CN"/>
          <w14:textFill>
            <w14:solidFill>
              <w14:schemeClr w14:val="tx1"/>
            </w14:solidFill>
          </w14:textFill>
        </w:rPr>
      </w:pPr>
      <w:r>
        <w:rPr>
          <w:rFonts w:hint="eastAsia" w:ascii="仿宋_GB2312" w:hAnsi="宋体" w:eastAsia="仿宋_GB2312" w:cs="宋体"/>
          <w:color w:val="000000" w:themeColor="text1"/>
          <w:sz w:val="32"/>
          <w:szCs w:val="32"/>
          <w:lang w:eastAsia="zh-CN"/>
          <w14:textFill>
            <w14:solidFill>
              <w14:schemeClr w14:val="tx1"/>
            </w14:solidFill>
          </w14:textFill>
        </w:rPr>
        <w:t>培训机构通过隐瞒有关情况或者提供虚假材料等方式接受专家鉴定，影响到职能部门准确实施监督管理举措的，由相应职能部门依法予以查处，并且纳入信用评价。</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eastAsia" w:ascii="仿宋_GB2312" w:hAnsi="宋体" w:eastAsia="仿宋_GB2312" w:cs="宋体"/>
          <w:color w:val="000000" w:themeColor="text1"/>
          <w:sz w:val="32"/>
          <w:szCs w:val="32"/>
          <w:lang w:eastAsia="zh-CN"/>
          <w14:textFill>
            <w14:solidFill>
              <w14:schemeClr w14:val="tx1"/>
            </w14:solidFill>
          </w14:textFill>
        </w:rPr>
      </w:pPr>
      <w:r>
        <w:rPr>
          <w:rFonts w:hint="eastAsia" w:ascii="仿宋_GB2312" w:hAnsi="宋体" w:eastAsia="仿宋_GB2312" w:cs="宋体"/>
          <w:color w:val="000000" w:themeColor="text1"/>
          <w:sz w:val="32"/>
          <w:szCs w:val="32"/>
          <w:lang w:eastAsia="zh-CN"/>
          <w14:textFill>
            <w14:solidFill>
              <w14:schemeClr w14:val="tx1"/>
            </w14:solidFill>
          </w14:textFill>
        </w:rPr>
        <w:t>鉴定工作建立专家信用管理记录制度。专家在鉴定工作中存在玩忽职守、滥用职权、营私舞弊或者其他妨碍鉴定结果公正性的，将纳入信用管理记录并且不再聘请其继续参与鉴定工作。</w:t>
      </w: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3687703"/>
      <w:docPartObj>
        <w:docPartGallery w:val="autotext"/>
      </w:docPartObj>
    </w:sdtPr>
    <w:sdtContent>
      <w:p>
        <w:pPr>
          <w:pStyle w:val="4"/>
          <w:jc w:val="center"/>
        </w:pPr>
        <w:r>
          <w:fldChar w:fldCharType="begin"/>
        </w:r>
        <w:r>
          <w:instrText xml:space="preserve">PAGE   \* MERGEFORMAT</w:instrText>
        </w:r>
        <w:r>
          <w:fldChar w:fldCharType="separate"/>
        </w:r>
        <w:r>
          <w:rPr>
            <w:lang w:val="zh-CN"/>
          </w:rPr>
          <w:t>7</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A34"/>
    <w:rsid w:val="00104EE9"/>
    <w:rsid w:val="0012066F"/>
    <w:rsid w:val="001318B1"/>
    <w:rsid w:val="002F07E3"/>
    <w:rsid w:val="003A0B7B"/>
    <w:rsid w:val="00413BFE"/>
    <w:rsid w:val="004D0C75"/>
    <w:rsid w:val="005145B9"/>
    <w:rsid w:val="00572671"/>
    <w:rsid w:val="005A7AE7"/>
    <w:rsid w:val="005B40DB"/>
    <w:rsid w:val="005F42CE"/>
    <w:rsid w:val="00614780"/>
    <w:rsid w:val="006B2994"/>
    <w:rsid w:val="006E6E87"/>
    <w:rsid w:val="007854C6"/>
    <w:rsid w:val="007C1647"/>
    <w:rsid w:val="007D1215"/>
    <w:rsid w:val="00B631B3"/>
    <w:rsid w:val="00BA256B"/>
    <w:rsid w:val="00C352CD"/>
    <w:rsid w:val="00C610F9"/>
    <w:rsid w:val="00CA1B53"/>
    <w:rsid w:val="00D31A34"/>
    <w:rsid w:val="00E37A25"/>
    <w:rsid w:val="09144758"/>
    <w:rsid w:val="39926B39"/>
    <w:rsid w:val="3ADE3648"/>
    <w:rsid w:val="5A937541"/>
    <w:rsid w:val="6FAF6183"/>
    <w:rsid w:val="797F5B4D"/>
    <w:rsid w:val="7A8921B3"/>
    <w:rsid w:val="7B3D2AB5"/>
    <w:rsid w:val="7EF9C7AD"/>
    <w:rsid w:val="7FFFE3CE"/>
    <w:rsid w:val="BDF7B600"/>
    <w:rsid w:val="FEFBAF6A"/>
    <w:rsid w:val="FFC33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10"/>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customStyle="1" w:styleId="10">
    <w:name w:val="标题 3 Char"/>
    <w:basedOn w:val="8"/>
    <w:link w:val="3"/>
    <w:qFormat/>
    <w:uiPriority w:val="9"/>
    <w:rPr>
      <w:rFonts w:ascii="宋体" w:hAnsi="宋体" w:eastAsia="宋体" w:cs="宋体"/>
      <w:b/>
      <w:bCs/>
      <w:kern w:val="0"/>
      <w:sz w:val="27"/>
      <w:szCs w:val="27"/>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character" w:customStyle="1" w:styleId="13">
    <w:name w:val="标题 2 Char"/>
    <w:basedOn w:val="8"/>
    <w:link w:val="2"/>
    <w:semiHidden/>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472</Words>
  <Characters>2694</Characters>
  <Lines>22</Lines>
  <Paragraphs>6</Paragraphs>
  <TotalTime>3</TotalTime>
  <ScaleCrop>false</ScaleCrop>
  <LinksUpToDate>false</LinksUpToDate>
  <CharactersWithSpaces>3160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2021-09-26T16:22:00Z</dcterms:created>
  <dc:creator>Administrator</dc:creator>
  <cp:lastModifiedBy>WPS_1490696106</cp:lastModifiedBy>
  <dcterms:modified xsi:type="dcterms:W3CDTF">2021-11-29T09:19:03Z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D8ACA2A72149407FB35FBF3988CC9B47</vt:lpwstr>
  </property>
</Properties>
</file>