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eastAsia="方正小标宋简体" w:hAnsiTheme="minorEastAsia"/>
          <w:sz w:val="44"/>
          <w:szCs w:val="44"/>
        </w:rPr>
      </w:pPr>
      <w:r>
        <w:rPr>
          <w:rFonts w:hint="eastAsia" w:asciiTheme="minorEastAsia" w:hAnsiTheme="minorEastAsia"/>
        </w:rPr>
        <w:t xml:space="preserve"> </w:t>
      </w:r>
      <w:r>
        <w:rPr>
          <w:rFonts w:hint="eastAsia" w:ascii="方正小标宋简体" w:eastAsia="方正小标宋简体" w:hAnsiTheme="minorEastAsia"/>
          <w:sz w:val="36"/>
          <w:szCs w:val="36"/>
        </w:rPr>
        <w:t>优秀教师、优秀教育工作者等表彰奖励事项办事指南</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1134"/>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事项名称</w:t>
            </w:r>
          </w:p>
        </w:tc>
        <w:tc>
          <w:tcPr>
            <w:tcW w:w="1134" w:type="dxa"/>
            <w:vMerge w:val="restart"/>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申报材料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3652" w:type="dxa"/>
          </w:tcPr>
          <w:p>
            <w:pPr>
              <w:rPr>
                <w:rFonts w:ascii="仿宋_GB2312" w:hAnsi="黑体" w:eastAsia="仿宋_GB2312"/>
                <w:sz w:val="32"/>
                <w:szCs w:val="32"/>
              </w:rPr>
            </w:pPr>
            <w:r>
              <w:rPr>
                <w:rFonts w:hint="eastAsia" w:ascii="仿宋_GB2312" w:hAnsi="黑体" w:eastAsia="仿宋_GB2312"/>
                <w:sz w:val="32"/>
                <w:szCs w:val="32"/>
              </w:rPr>
              <w:t>优秀教师、优秀教育工作者等表彰奖励</w:t>
            </w:r>
          </w:p>
        </w:tc>
        <w:tc>
          <w:tcPr>
            <w:tcW w:w="1134" w:type="dxa"/>
            <w:vMerge w:val="continue"/>
          </w:tcPr>
          <w:p>
            <w:pPr>
              <w:rPr>
                <w:rFonts w:ascii="黑体" w:hAnsi="黑体" w:eastAsia="黑体"/>
                <w:b/>
                <w:sz w:val="32"/>
                <w:szCs w:val="32"/>
              </w:rPr>
            </w:pPr>
          </w:p>
        </w:tc>
        <w:tc>
          <w:tcPr>
            <w:tcW w:w="3736" w:type="dxa"/>
          </w:tcPr>
          <w:p>
            <w:pPr>
              <w:rPr>
                <w:rFonts w:ascii="仿宋_GB2312" w:hAnsi="黑体" w:eastAsia="仿宋_GB2312"/>
                <w:sz w:val="32"/>
                <w:szCs w:val="32"/>
              </w:rPr>
            </w:pPr>
            <w:r>
              <w:rPr>
                <w:rFonts w:hint="eastAsia" w:ascii="仿宋_GB2312" w:hAnsi="黑体" w:eastAsia="仿宋_GB2312"/>
                <w:sz w:val="32"/>
                <w:szCs w:val="32"/>
              </w:rPr>
              <w:t>优秀教师、优秀教育工作者推荐审批表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服务单位</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服务流程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3652" w:type="dxa"/>
          </w:tcPr>
          <w:p>
            <w:pPr>
              <w:rPr>
                <w:rFonts w:ascii="仿宋_GB2312" w:hAnsi="黑体" w:eastAsia="仿宋_GB2312"/>
                <w:sz w:val="32"/>
                <w:szCs w:val="32"/>
              </w:rPr>
            </w:pPr>
            <w:r>
              <w:rPr>
                <w:rFonts w:hint="eastAsia" w:ascii="仿宋_GB2312" w:hAnsi="黑体" w:eastAsia="仿宋_GB2312"/>
                <w:sz w:val="32"/>
                <w:szCs w:val="32"/>
              </w:rPr>
              <w:t>柳州市教育局</w:t>
            </w:r>
          </w:p>
        </w:tc>
        <w:tc>
          <w:tcPr>
            <w:tcW w:w="1134" w:type="dxa"/>
            <w:vMerge w:val="continue"/>
          </w:tcPr>
          <w:p>
            <w:pPr>
              <w:rPr>
                <w:rFonts w:ascii="仿宋_GB2312" w:hAnsi="黑体" w:eastAsia="仿宋_GB2312"/>
                <w:sz w:val="32"/>
                <w:szCs w:val="32"/>
              </w:rPr>
            </w:pPr>
          </w:p>
        </w:tc>
        <w:tc>
          <w:tcPr>
            <w:tcW w:w="3736" w:type="dxa"/>
          </w:tcPr>
          <w:p>
            <w:pPr>
              <w:rPr>
                <w:rFonts w:ascii="仿宋_GB2312" w:hAnsi="黑体" w:eastAsia="仿宋_GB2312"/>
                <w:sz w:val="32"/>
                <w:szCs w:val="32"/>
              </w:rPr>
            </w:pPr>
            <w:r>
              <w:rPr>
                <w:rFonts w:hint="eastAsia" w:ascii="仿宋_GB2312" w:hAnsi="黑体" w:eastAsia="仿宋_GB2312"/>
                <w:sz w:val="32"/>
                <w:szCs w:val="32"/>
              </w:rPr>
              <w:t>详见办理流程图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设定依据</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收费情况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3" w:hRule="atLeast"/>
        </w:trPr>
        <w:tc>
          <w:tcPr>
            <w:tcW w:w="3652" w:type="dxa"/>
          </w:tcPr>
          <w:p>
            <w:pPr>
              <w:rPr>
                <w:rFonts w:ascii="仿宋_GB2312" w:hAnsi="仿宋_GB2312" w:eastAsia="仿宋_GB2312" w:cs="仿宋_GB2312"/>
                <w:szCs w:val="21"/>
              </w:rPr>
            </w:pPr>
            <w:r>
              <w:rPr>
                <w:rFonts w:hint="eastAsia" w:ascii="仿宋_GB2312" w:hAnsi="仿宋_GB2312" w:eastAsia="仿宋_GB2312" w:cs="仿宋_GB2312"/>
                <w:szCs w:val="21"/>
              </w:rPr>
              <w:t>1.《中华人民共和国教师法》（1993年国家主席令第15号，2009年8月27日中华人民共和国主席令第十八号第十一届全国人民代表大会常务委员会第十次会议《关于修改部分法律的决定》修正）第三十三条  ……国务院和地方各级人民政府及其有关部门对有突出贡献的教师，应当予以表彰、奖励。对有重大贡献的教师，依照国家有关规定授予荣誉称号。</w:t>
            </w:r>
          </w:p>
          <w:p>
            <w:pPr>
              <w:rPr>
                <w:rFonts w:ascii="仿宋_GB2312" w:hAnsi="仿宋_GB2312" w:eastAsia="仿宋_GB2312" w:cs="仿宋_GB2312"/>
                <w:szCs w:val="21"/>
              </w:rPr>
            </w:pPr>
            <w:r>
              <w:rPr>
                <w:rFonts w:hint="eastAsia" w:ascii="仿宋_GB2312" w:hAnsi="仿宋_GB2312" w:eastAsia="仿宋_GB2312" w:cs="仿宋_GB2312"/>
                <w:szCs w:val="21"/>
              </w:rPr>
              <w:t>2.《广西壮族自治区实施〈中华人民共和国教师法〉办法》（2010年广西壮族自治区第十一届人民代表大会常务委员会第十六次会议7月30日通过）第三十二条  各级人民政府、有关部门和各级各类学校，应当定期对在教育教学、培养人才、科学研究、教学改革、学校建设、社会服务、勤工俭学等方面做出显著成绩和突出贡献的教师给予表彰和奖励。</w:t>
            </w:r>
          </w:p>
          <w:p>
            <w:pPr>
              <w:rPr>
                <w:rFonts w:ascii="黑体" w:hAnsi="黑体" w:eastAsia="黑体"/>
                <w:b/>
                <w:sz w:val="32"/>
                <w:szCs w:val="32"/>
              </w:rPr>
            </w:pPr>
            <w:r>
              <w:rPr>
                <w:rFonts w:hint="eastAsia" w:ascii="仿宋_GB2312" w:hAnsi="仿宋_GB2312" w:eastAsia="仿宋_GB2312" w:cs="仿宋_GB2312"/>
                <w:szCs w:val="21"/>
              </w:rPr>
              <w:t>3.《教师和教育工作者奖励规定》（教人[1998]1号）第十二条  各省、自治区、直辖市和国务院有关部门、解放军总政治部可参照本规定，结合实际情况，奖励所属学校和其他教育机构的优秀教师和教育工作者。</w:t>
            </w:r>
          </w:p>
        </w:tc>
        <w:tc>
          <w:tcPr>
            <w:tcW w:w="1134" w:type="dxa"/>
            <w:vMerge w:val="continue"/>
          </w:tcPr>
          <w:p>
            <w:pPr>
              <w:rPr>
                <w:rFonts w:ascii="黑体" w:hAnsi="黑体" w:eastAsia="黑体"/>
                <w:b/>
                <w:sz w:val="32"/>
                <w:szCs w:val="32"/>
              </w:rPr>
            </w:pPr>
          </w:p>
        </w:tc>
        <w:tc>
          <w:tcPr>
            <w:tcW w:w="3736" w:type="dxa"/>
          </w:tcPr>
          <w:p>
            <w:pPr>
              <w:rPr>
                <w:rFonts w:ascii="仿宋_GB2312" w:hAnsi="黑体" w:eastAsia="仿宋_GB2312"/>
                <w:sz w:val="32"/>
                <w:szCs w:val="32"/>
              </w:rPr>
            </w:pPr>
            <w:r>
              <w:rPr>
                <w:rFonts w:hint="eastAsia" w:ascii="仿宋_GB2312" w:hAnsi="黑体" w:eastAsia="仿宋_GB2312"/>
                <w:sz w:val="32"/>
                <w:szCs w:val="32"/>
              </w:rPr>
              <w:t>无收费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服务对象</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法定时限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3652" w:type="dxa"/>
          </w:tcPr>
          <w:p>
            <w:pPr>
              <w:rPr>
                <w:rFonts w:ascii="仿宋_GB2312" w:hAnsi="黑体" w:eastAsia="仿宋_GB2312"/>
                <w:sz w:val="32"/>
                <w:szCs w:val="32"/>
              </w:rPr>
            </w:pPr>
            <w:r>
              <w:rPr>
                <w:rFonts w:hint="eastAsia" w:ascii="仿宋_GB2312" w:hAnsi="黑体" w:eastAsia="仿宋_GB2312"/>
                <w:sz w:val="32"/>
                <w:szCs w:val="32"/>
              </w:rPr>
              <w:t>教师、教育工作者</w:t>
            </w:r>
          </w:p>
        </w:tc>
        <w:tc>
          <w:tcPr>
            <w:tcW w:w="1134" w:type="dxa"/>
            <w:vMerge w:val="continue"/>
          </w:tcPr>
          <w:p>
            <w:pPr>
              <w:rPr>
                <w:rFonts w:ascii="仿宋_GB2312" w:hAnsi="黑体" w:eastAsia="仿宋_GB2312"/>
                <w:sz w:val="32"/>
                <w:szCs w:val="32"/>
              </w:rPr>
            </w:pPr>
          </w:p>
        </w:tc>
        <w:tc>
          <w:tcPr>
            <w:tcW w:w="3736" w:type="dxa"/>
          </w:tcPr>
          <w:p>
            <w:pPr>
              <w:rPr>
                <w:rFonts w:ascii="仿宋_GB2312" w:hAnsi="黑体" w:eastAsia="仿宋_GB2312"/>
                <w:sz w:val="32"/>
                <w:szCs w:val="32"/>
              </w:rPr>
            </w:pPr>
            <w:r>
              <w:rPr>
                <w:rFonts w:hint="eastAsia" w:ascii="仿宋_GB2312" w:hAnsi="黑体" w:eastAsia="仿宋_GB2312"/>
                <w:sz w:val="32"/>
                <w:szCs w:val="32"/>
              </w:rPr>
              <w:t>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受理窗口</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承诺时限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trPr>
        <w:tc>
          <w:tcPr>
            <w:tcW w:w="3652" w:type="dxa"/>
          </w:tcPr>
          <w:p>
            <w:pPr>
              <w:rPr>
                <w:rFonts w:ascii="仿宋_GB2312" w:hAnsi="黑体" w:eastAsia="仿宋_GB2312"/>
                <w:sz w:val="32"/>
                <w:szCs w:val="32"/>
              </w:rPr>
            </w:pPr>
            <w:r>
              <w:rPr>
                <w:rFonts w:hint="eastAsia" w:ascii="仿宋_GB2312" w:hAnsi="黑体" w:eastAsia="仿宋_GB2312"/>
                <w:sz w:val="32"/>
                <w:szCs w:val="32"/>
              </w:rPr>
              <w:t>柳州市鱼峰区龙湖路13号柳州市民服务中心南楼2楼综合服务厅1-20号综合窗口</w:t>
            </w:r>
          </w:p>
        </w:tc>
        <w:tc>
          <w:tcPr>
            <w:tcW w:w="1134" w:type="dxa"/>
            <w:vMerge w:val="continue"/>
          </w:tcPr>
          <w:p>
            <w:pPr>
              <w:rPr>
                <w:rFonts w:ascii="仿宋_GB2312" w:hAnsi="黑体" w:eastAsia="仿宋_GB2312"/>
                <w:sz w:val="32"/>
                <w:szCs w:val="32"/>
              </w:rPr>
            </w:pPr>
          </w:p>
        </w:tc>
        <w:tc>
          <w:tcPr>
            <w:tcW w:w="3736" w:type="dxa"/>
          </w:tcPr>
          <w:p>
            <w:pPr>
              <w:rPr>
                <w:rFonts w:ascii="仿宋_GB2312" w:hAnsi="黑体" w:eastAsia="仿宋_GB2312"/>
                <w:sz w:val="32"/>
                <w:szCs w:val="32"/>
              </w:rPr>
            </w:pPr>
            <w:r>
              <w:rPr>
                <w:rFonts w:hint="default" w:ascii="仿宋_GB2312" w:hAnsi="黑体" w:eastAsia="仿宋_GB2312"/>
                <w:sz w:val="32"/>
                <w:szCs w:val="32"/>
                <w:lang w:val="en"/>
              </w:rPr>
              <w:t>1</w:t>
            </w:r>
            <w:r>
              <w:rPr>
                <w:rFonts w:hint="eastAsia" w:ascii="仿宋_GB2312" w:hAnsi="黑体" w:eastAsia="仿宋_GB2312"/>
                <w:sz w:val="32"/>
                <w:szCs w:val="32"/>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咨询电话</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“最多跑一次”实施方式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2" w:hRule="atLeast"/>
        </w:trPr>
        <w:tc>
          <w:tcPr>
            <w:tcW w:w="3652" w:type="dxa"/>
          </w:tcPr>
          <w:p>
            <w:pPr>
              <w:rPr>
                <w:rFonts w:ascii="仿宋_GB2312" w:eastAsia="仿宋_GB2312"/>
                <w:sz w:val="32"/>
                <w:szCs w:val="32"/>
              </w:rPr>
            </w:pPr>
            <w:r>
              <w:rPr>
                <w:rFonts w:hint="eastAsia" w:ascii="仿宋_GB2312" w:hAnsi="黑体" w:eastAsia="仿宋_GB2312"/>
                <w:sz w:val="32"/>
                <w:szCs w:val="32"/>
              </w:rPr>
              <w:t>0772-2815632</w:t>
            </w:r>
            <w:bookmarkStart w:id="0" w:name="_GoBack"/>
            <w:bookmarkEnd w:id="0"/>
          </w:p>
        </w:tc>
        <w:tc>
          <w:tcPr>
            <w:tcW w:w="1134" w:type="dxa"/>
            <w:vMerge w:val="continue"/>
          </w:tcPr>
          <w:p>
            <w:pPr>
              <w:rPr>
                <w:rFonts w:ascii="仿宋_GB2312" w:eastAsia="仿宋_GB2312"/>
                <w:sz w:val="32"/>
                <w:szCs w:val="32"/>
              </w:rPr>
            </w:pPr>
          </w:p>
        </w:tc>
        <w:tc>
          <w:tcPr>
            <w:tcW w:w="3736" w:type="dxa"/>
          </w:tcPr>
          <w:p>
            <w:pPr>
              <w:rPr>
                <w:rFonts w:ascii="仿宋_GB2312" w:eastAsia="仿宋_GB2312"/>
                <w:sz w:val="32"/>
                <w:szCs w:val="32"/>
              </w:rPr>
            </w:pPr>
            <w:r>
              <w:rPr>
                <w:rFonts w:hint="eastAsia" w:ascii="仿宋_GB2312" w:hAnsi="黑体" w:eastAsia="仿宋_GB2312"/>
                <w:sz w:val="32"/>
                <w:szCs w:val="32"/>
              </w:rPr>
              <w:t>现场一次办结</w:t>
            </w:r>
          </w:p>
        </w:tc>
      </w:tr>
    </w:tbl>
    <w:p>
      <w:pPr>
        <w:rPr>
          <w:rFonts w:ascii="方正小标宋简体" w:eastAsia="方正小标宋简体"/>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微软雅黑">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24547"/>
    <w:rsid w:val="0023098B"/>
    <w:rsid w:val="00360B01"/>
    <w:rsid w:val="003B7379"/>
    <w:rsid w:val="00624547"/>
    <w:rsid w:val="009C6DC5"/>
    <w:rsid w:val="00AD0A28"/>
    <w:rsid w:val="00C04A0A"/>
    <w:rsid w:val="00EB7B63"/>
    <w:rsid w:val="0DE35B4F"/>
    <w:rsid w:val="184F147F"/>
    <w:rsid w:val="3E7F66F7"/>
    <w:rsid w:val="5BF21BB5"/>
    <w:rsid w:val="66B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kern w:val="2"/>
      <w:sz w:val="18"/>
      <w:szCs w:val="18"/>
    </w:rPr>
  </w:style>
  <w:style w:type="character" w:customStyle="1" w:styleId="8">
    <w:name w:val="页脚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98</Words>
  <Characters>559</Characters>
  <Lines>4</Lines>
  <Paragraphs>1</Paragraphs>
  <TotalTime>8</TotalTime>
  <ScaleCrop>false</ScaleCrop>
  <LinksUpToDate>false</LinksUpToDate>
  <CharactersWithSpaces>656</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2019-08-16T10:29:00Z</dcterms:created>
  <dc:creator>user</dc:creator>
  <cp:lastModifiedBy>gxxc</cp:lastModifiedBy>
  <dcterms:modified xsi:type="dcterms:W3CDTF">2023-08-15T16:18:50Z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